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>
          <w:b/>
          <w:bCs/>
          <w:sz w:val="26"/>
          <w:szCs w:val="26"/>
          <w:u w:val="single"/>
        </w:rPr>
        <w:t>LEI Nº 4.570</w:t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DE 26 DE NOVEMBRO DE 2024</w:t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p>
      <w:pPr>
        <w:pStyle w:val="Normal"/>
        <w:bidi w:val="0"/>
        <w:jc w:val="center"/>
        <w:rPr/>
      </w:pPr>
      <w:r>
        <w:rPr>
          <w:b/>
          <w:bCs/>
          <w:sz w:val="26"/>
          <w:szCs w:val="26"/>
        </w:rPr>
        <w:t>(Projeto de Lei nº</w:t>
      </w:r>
      <w:r>
        <w:rPr>
          <w:b/>
          <w:bCs/>
          <w:sz w:val="26"/>
          <w:szCs w:val="26"/>
          <w:shd w:fill="FFFFFF" w:val="clear"/>
        </w:rPr>
        <w:t xml:space="preserve"> 289/2024 – Autor: Prefeito Municipal)</w:t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</w:r>
    </w:p>
    <w:p>
      <w:pPr>
        <w:pStyle w:val="Normal"/>
        <w:bidi w:val="0"/>
        <w:jc w:val="center"/>
        <w:rPr>
          <w:b/>
          <w:b/>
          <w:bCs/>
          <w:sz w:val="26"/>
          <w:szCs w:val="26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</w:r>
    </w:p>
    <w:p>
      <w:pPr>
        <w:pStyle w:val="Normal"/>
        <w:bidi w:val="0"/>
        <w:ind w:left="3572" w:right="0" w:hanging="0"/>
        <w:jc w:val="both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ACRESCENTA E ALTERA DISPOSITIVOS DA LEI Nº 3.315, DE 08 DE DEZEMBRO DE 2016, QUE AUTORIZA O PODER EXECUTIVO A CELEBRAR TERMO DE FOMENTO COM AS ENTIDADES SUBVENCIONADAS QUE PRESTAM ATENDIMENTO NA ÁREA DE EDUCAÇÃO, NAS MODALIDADES DE CRECHE, PRÉ-ESCOLA E/OU ATIVIDADE COMPLEMENTAR, E DÁ OUTRAS PROVIDÊNCIAS. </w:t>
      </w:r>
    </w:p>
    <w:p>
      <w:pPr>
        <w:pStyle w:val="Normal"/>
        <w:bidi w:val="0"/>
        <w:jc w:val="both"/>
        <w:rPr>
          <w:i/>
          <w:i/>
          <w:iCs/>
          <w:sz w:val="26"/>
          <w:szCs w:val="26"/>
          <w:lang w:eastAsia="en-US"/>
        </w:rPr>
      </w:pPr>
      <w:r>
        <w:rPr>
          <w:i/>
          <w:iCs/>
          <w:sz w:val="26"/>
          <w:szCs w:val="26"/>
          <w:lang w:eastAsia="en-US"/>
        </w:rPr>
      </w:r>
    </w:p>
    <w:p>
      <w:pPr>
        <w:pStyle w:val="Normal"/>
        <w:bidi w:val="0"/>
        <w:jc w:val="both"/>
        <w:rPr>
          <w:i/>
          <w:i/>
          <w:iCs/>
          <w:sz w:val="26"/>
          <w:szCs w:val="26"/>
          <w:lang w:eastAsia="en-US"/>
        </w:rPr>
      </w:pPr>
      <w:r>
        <w:rPr>
          <w:i/>
          <w:iCs/>
          <w:sz w:val="26"/>
          <w:szCs w:val="26"/>
          <w:lang w:eastAsia="en-US"/>
        </w:rPr>
      </w:r>
    </w:p>
    <w:p>
      <w:pPr>
        <w:pStyle w:val="Normal"/>
        <w:bidi w:val="0"/>
        <w:jc w:val="both"/>
        <w:rPr>
          <w:i/>
          <w:i/>
          <w:iCs/>
          <w:sz w:val="26"/>
          <w:szCs w:val="26"/>
          <w:lang w:eastAsia="en-US"/>
        </w:rPr>
      </w:pPr>
      <w:r>
        <w:rPr>
          <w:i/>
          <w:iCs/>
          <w:sz w:val="26"/>
          <w:szCs w:val="26"/>
          <w:lang w:eastAsia="en-US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sz w:val="26"/>
          <w:szCs w:val="26"/>
        </w:rPr>
        <w:tab/>
      </w:r>
      <w:r>
        <w:rPr>
          <w:rFonts w:eastAsia="SimSun;宋体"/>
          <w:b/>
          <w:bCs/>
          <w:sz w:val="26"/>
          <w:szCs w:val="26"/>
          <w:lang w:bidi="hi-IN"/>
        </w:rPr>
        <w:t>ROGÉRIO SANTOS</w:t>
      </w:r>
      <w:r>
        <w:rPr>
          <w:rFonts w:eastAsia="SimSun;宋体"/>
          <w:bCs/>
          <w:sz w:val="26"/>
          <w:szCs w:val="26"/>
          <w:lang w:bidi="hi-IN"/>
        </w:rPr>
        <w:t>,</w:t>
      </w:r>
      <w:r>
        <w:rPr>
          <w:rFonts w:eastAsia="SimSun;宋体"/>
          <w:b/>
          <w:bCs/>
          <w:sz w:val="26"/>
          <w:szCs w:val="26"/>
          <w:lang w:bidi="hi-IN"/>
        </w:rPr>
        <w:t xml:space="preserve"> </w:t>
      </w:r>
      <w:r>
        <w:rPr>
          <w:rFonts w:eastAsia="SimSun;宋体"/>
          <w:bCs/>
          <w:sz w:val="26"/>
          <w:szCs w:val="26"/>
          <w:lang w:bidi="hi-IN"/>
        </w:rPr>
        <w:t>Prefeito Municipal de Santos, faço saber que a Câmara Municipal aprovou em sessão realizada em 26</w:t>
      </w:r>
      <w:r>
        <w:rPr>
          <w:rFonts w:eastAsia="SimSun;宋体"/>
          <w:bCs/>
          <w:sz w:val="26"/>
          <w:szCs w:val="26"/>
          <w:shd w:fill="FFFFFF" w:val="clear"/>
          <w:lang w:bidi="hi-IN"/>
        </w:rPr>
        <w:t xml:space="preserve"> </w:t>
      </w:r>
      <w:r>
        <w:rPr>
          <w:rFonts w:eastAsia="SimSun;宋体"/>
          <w:bCs/>
          <w:sz w:val="26"/>
          <w:szCs w:val="26"/>
          <w:lang w:bidi="hi-IN"/>
        </w:rPr>
        <w:t>de novembro de 2024 e eu sanciono e promulgo a seguinte:</w:t>
      </w:r>
    </w:p>
    <w:p>
      <w:pPr>
        <w:pStyle w:val="Normal"/>
        <w:widowControl w:val="false"/>
        <w:bidi w:val="0"/>
        <w:ind w:left="0" w:right="0" w:firstLine="3118"/>
        <w:jc w:val="both"/>
        <w:rPr>
          <w:b/>
          <w:b/>
          <w:bCs/>
          <w:i/>
          <w:i/>
          <w:iCs/>
          <w:kern w:val="2"/>
          <w:sz w:val="26"/>
          <w:szCs w:val="26"/>
          <w:lang w:bidi="en-US"/>
        </w:rPr>
      </w:pPr>
      <w:r>
        <w:rPr>
          <w:b/>
          <w:bCs/>
          <w:i/>
          <w:iCs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ind w:left="0" w:right="0" w:firstLine="3118"/>
        <w:jc w:val="both"/>
        <w:rPr>
          <w:b/>
          <w:b/>
          <w:bCs/>
          <w:i/>
          <w:i/>
          <w:iCs/>
          <w:kern w:val="2"/>
          <w:sz w:val="26"/>
          <w:szCs w:val="26"/>
          <w:lang w:bidi="en-US"/>
        </w:rPr>
      </w:pPr>
      <w:r>
        <w:rPr>
          <w:b/>
          <w:bCs/>
          <w:i/>
          <w:iCs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ind w:left="0" w:right="0" w:firstLine="3118"/>
        <w:jc w:val="both"/>
        <w:rPr>
          <w:b/>
          <w:b/>
          <w:bCs/>
          <w:kern w:val="2"/>
          <w:sz w:val="26"/>
          <w:szCs w:val="26"/>
          <w:lang w:bidi="en-US"/>
        </w:rPr>
      </w:pPr>
      <w:r>
        <w:rPr>
          <w:b/>
          <w:bCs/>
          <w:kern w:val="2"/>
          <w:sz w:val="26"/>
          <w:szCs w:val="26"/>
          <w:lang w:bidi="en-US"/>
        </w:rPr>
        <w:t>LEI Nº 4.570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9"/>
        <w:jc w:val="both"/>
        <w:rPr/>
      </w:pPr>
      <w:r>
        <w:rPr>
          <w:b/>
          <w:bCs/>
          <w:sz w:val="26"/>
          <w:szCs w:val="26"/>
        </w:rPr>
        <w:t>Art. 1º</w:t>
      </w:r>
      <w:r>
        <w:rPr>
          <w:sz w:val="26"/>
          <w:szCs w:val="26"/>
        </w:rPr>
        <w:t xml:space="preserve"> O § 1º do artigo 1º, da Lei nº 3.315, de 08 de dezembro de 2016, passa a vigorar com a seguinte redação: 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/>
      </w:pPr>
      <w:r>
        <w:rPr>
          <w:sz w:val="26"/>
          <w:szCs w:val="26"/>
        </w:rPr>
        <w:tab/>
        <w:t xml:space="preserve">“ </w:t>
      </w:r>
      <w:r>
        <w:rPr>
          <w:b/>
          <w:bCs/>
          <w:sz w:val="26"/>
          <w:szCs w:val="26"/>
        </w:rPr>
        <w:t xml:space="preserve">Art. 1º </w:t>
      </w:r>
      <w:r>
        <w:rPr>
          <w:sz w:val="26"/>
          <w:szCs w:val="26"/>
        </w:rPr>
        <w:t>[...]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8"/>
        <w:jc w:val="both"/>
        <w:rPr/>
      </w:pPr>
      <w:r>
        <w:rPr>
          <w:b/>
          <w:bCs/>
          <w:sz w:val="26"/>
          <w:szCs w:val="26"/>
        </w:rPr>
        <w:t xml:space="preserve">§ 1º </w:t>
      </w:r>
      <w:r>
        <w:rPr>
          <w:sz w:val="26"/>
          <w:szCs w:val="26"/>
        </w:rPr>
        <w:t>A subvenção de que trata o “caput”, para pagamento a partir de janeiro de 2025, corresponde aos seguintes valores mensais:</w:t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8"/>
        <w:jc w:val="both"/>
        <w:rPr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i/>
          <w:i/>
          <w:iCs/>
          <w:sz w:val="26"/>
          <w:szCs w:val="26"/>
          <w:lang w:eastAsia="en-US"/>
        </w:rPr>
      </w:pPr>
      <w:r>
        <w:rPr>
          <w:i/>
          <w:iCs/>
          <w:sz w:val="26"/>
          <w:szCs w:val="26"/>
          <w:lang w:eastAsia="en-US"/>
        </w:rPr>
      </w:r>
    </w:p>
    <w:tbl>
      <w:tblPr>
        <w:tblW w:w="8456" w:type="dxa"/>
        <w:jc w:val="left"/>
        <w:tblInd w:w="167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</w:tblPr>
      <w:tblGrid>
        <w:gridCol w:w="2445"/>
        <w:gridCol w:w="2265"/>
        <w:gridCol w:w="1590"/>
        <w:gridCol w:w="2156"/>
      </w:tblGrid>
      <w:tr>
        <w:trPr/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MODALIDADE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PERÍODO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VALORES PER CAPITA MENSAIS(EM REAIS)</w:t>
            </w:r>
          </w:p>
        </w:tc>
      </w:tr>
      <w:tr>
        <w:trPr/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CRECHE</w:t>
            </w:r>
          </w:p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PRÉ-ESCOLA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BERÇÁRIO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R$ 912,74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MATERNAL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R$ 758,30</w:t>
            </w:r>
          </w:p>
        </w:tc>
      </w:tr>
      <w:tr>
        <w:trPr>
          <w:trHeight w:val="400" w:hRule="atLeast"/>
        </w:trPr>
        <w:tc>
          <w:tcPr>
            <w:tcW w:w="2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JARDIM/PRÉ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R$ 618,19</w:t>
            </w:r>
          </w:p>
        </w:tc>
      </w:tr>
      <w:tr>
        <w:trPr>
          <w:trHeight w:val="675" w:hRule="atLeast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ATIVIDADE COMPLEMENTAR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EDUCAÇÃO INFANTIL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PARCIAL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R$ 237,73</w:t>
            </w:r>
          </w:p>
        </w:tc>
      </w:tr>
      <w:tr>
        <w:trPr/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ATIVIDADE COMPLEMENTAR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ENSINO FUNDAMENTAL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PARCIAL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R$ 322,26</w:t>
            </w:r>
          </w:p>
        </w:tc>
      </w:tr>
    </w:tbl>
    <w:p>
      <w:pPr>
        <w:pStyle w:val="Normal"/>
        <w:bidi w:val="0"/>
        <w:jc w:val="right"/>
        <w:rPr>
          <w:sz w:val="26"/>
          <w:szCs w:val="26"/>
        </w:rPr>
      </w:pPr>
      <w:r>
        <w:rPr>
          <w:sz w:val="26"/>
          <w:szCs w:val="26"/>
        </w:rPr>
        <w:t>”</w:t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9"/>
        <w:jc w:val="both"/>
        <w:rPr/>
      </w:pPr>
      <w:r>
        <w:rPr>
          <w:b/>
          <w:bCs/>
          <w:sz w:val="26"/>
          <w:szCs w:val="26"/>
        </w:rPr>
        <w:t>Art. 2º</w:t>
      </w:r>
      <w:r>
        <w:rPr>
          <w:sz w:val="26"/>
          <w:szCs w:val="26"/>
        </w:rPr>
        <w:t xml:space="preserve"> O § 4º, do artigo 1º, da Lei nº 3.315, de 08 de dezembro de 2016, passa a vigorar com a seguinte redação:</w:t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9"/>
        <w:jc w:val="both"/>
        <w:rPr/>
      </w:pPr>
      <w:r>
        <w:rPr>
          <w:sz w:val="26"/>
          <w:szCs w:val="26"/>
        </w:rPr>
        <w:t xml:space="preserve">“ </w:t>
      </w:r>
      <w:r>
        <w:rPr>
          <w:b/>
          <w:bCs/>
          <w:sz w:val="26"/>
          <w:szCs w:val="26"/>
        </w:rPr>
        <w:t xml:space="preserve">Art. 1º </w:t>
      </w:r>
      <w:r>
        <w:rPr>
          <w:sz w:val="26"/>
          <w:szCs w:val="26"/>
        </w:rPr>
        <w:t>[...]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8"/>
        <w:jc w:val="both"/>
        <w:rPr/>
      </w:pPr>
      <w:r>
        <w:rPr>
          <w:b/>
          <w:bCs/>
          <w:sz w:val="26"/>
          <w:szCs w:val="26"/>
        </w:rPr>
        <w:t>§ 4º</w:t>
      </w:r>
      <w:r>
        <w:rPr>
          <w:sz w:val="26"/>
          <w:szCs w:val="26"/>
        </w:rPr>
        <w:t xml:space="preserve"> </w:t>
      </w:r>
      <w:bookmarkStart w:id="0" w:name="_Hlk182298006"/>
      <w:r>
        <w:rPr>
          <w:rFonts w:cs="Arial"/>
          <w:sz w:val="26"/>
          <w:szCs w:val="26"/>
        </w:rPr>
        <w:t>A partir do ano letivo de 2025, os alunos com deficiência e/ou Transtorno do Espectro Autista (TEA) matriculados nos cursos de Creche, Pré-Escola e/ou Atividade Complementar, devidamente comprovados por laudo médico com CID, deverão ser acompanhados por PAEI (Profissional de Apoio Escolar Inclusivo) contratados e custeados pela Entidade Subvencionada.”</w:t>
      </w:r>
    </w:p>
    <w:p>
      <w:pPr>
        <w:pStyle w:val="Normal"/>
        <w:tabs>
          <w:tab w:val="clear" w:pos="709"/>
          <w:tab w:val="left" w:pos="3119" w:leader="none"/>
        </w:tabs>
        <w:bidi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tabs>
          <w:tab w:val="clear" w:pos="709"/>
          <w:tab w:val="left" w:pos="1771" w:leader="none"/>
          <w:tab w:val="left" w:pos="2977" w:leader="none"/>
          <w:tab w:val="left" w:pos="3119" w:leader="none"/>
          <w:tab w:val="left" w:pos="3827" w:leader="none"/>
          <w:tab w:val="left" w:pos="6520" w:leader="none"/>
        </w:tabs>
        <w:bidi w:val="0"/>
        <w:jc w:val="both"/>
        <w:rPr/>
      </w:pPr>
      <w:r>
        <w:rPr>
          <w:sz w:val="26"/>
          <w:szCs w:val="26"/>
        </w:rPr>
        <w:tab/>
        <w:tab/>
      </w:r>
      <w:r>
        <w:rPr>
          <w:rFonts w:cs="Arial"/>
          <w:b/>
          <w:bCs/>
          <w:sz w:val="26"/>
          <w:szCs w:val="26"/>
        </w:rPr>
        <w:t xml:space="preserve">Art. 3º </w:t>
      </w:r>
      <w:r>
        <w:rPr>
          <w:rFonts w:cs="Arial"/>
          <w:sz w:val="26"/>
          <w:szCs w:val="26"/>
        </w:rPr>
        <w:t>Fica acrescido § 5º ao Art. 1° da Lei nº 3.315, de 08 de dezembro de 2016, com a seguinte redação:</w:t>
      </w:r>
    </w:p>
    <w:p>
      <w:pPr>
        <w:pStyle w:val="Normal"/>
        <w:bidi w:val="0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8"/>
        <w:jc w:val="both"/>
        <w:rPr/>
      </w:pPr>
      <w:r>
        <w:rPr>
          <w:rFonts w:cs="Arial"/>
          <w:sz w:val="26"/>
          <w:szCs w:val="26"/>
        </w:rPr>
        <w:t>“</w:t>
      </w:r>
      <w:r>
        <w:rPr>
          <w:rFonts w:cs="Times New Roman"/>
          <w:sz w:val="26"/>
          <w:szCs w:val="26"/>
        </w:rPr>
        <w:t xml:space="preserve"> </w:t>
      </w:r>
      <w:r>
        <w:rPr>
          <w:rFonts w:cs="Arial"/>
          <w:b/>
          <w:bCs/>
          <w:sz w:val="26"/>
          <w:szCs w:val="26"/>
        </w:rPr>
        <w:t xml:space="preserve">Art. 1º </w:t>
      </w:r>
      <w:r>
        <w:rPr>
          <w:rFonts w:cs="Arial"/>
          <w:sz w:val="26"/>
          <w:szCs w:val="26"/>
        </w:rPr>
        <w:t>[…]</w:t>
      </w:r>
    </w:p>
    <w:p>
      <w:pPr>
        <w:pStyle w:val="Normal"/>
        <w:tabs>
          <w:tab w:val="clear" w:pos="709"/>
          <w:tab w:val="left" w:pos="3119" w:leader="none"/>
        </w:tabs>
        <w:bidi w:val="0"/>
        <w:ind w:left="0" w:right="0" w:firstLine="311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 xml:space="preserve">§ 5º </w:t>
      </w:r>
      <w:r>
        <w:rPr>
          <w:rFonts w:cs="Arial"/>
          <w:sz w:val="26"/>
          <w:szCs w:val="26"/>
        </w:rPr>
        <w:t>As Entidades Subvencionadas deverão comprovar mensalmente, até o dia 20 (vinte) de cada mês, o número de alunos acompanhados por PAEIs (Profissional de Apoio Escolar Inclusivo), encaminhando a Secretaria Municipal de Educação relatório acompanhado de cópias dos laudos médicos apresentados para à finalidade do § 4º deste artigo.”</w:t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4º</w:t>
      </w:r>
      <w:r>
        <w:rPr>
          <w:rFonts w:cs="Arial"/>
          <w:sz w:val="26"/>
          <w:szCs w:val="26"/>
        </w:rPr>
        <w:t xml:space="preserve"> O § 2º da Cláusula Segunda do Anexo I, da Lei nº 3.315, de 08 de dezembro de 2016, passa a vigorar com a seguinte redação: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SEGUNDA:</w:t>
      </w:r>
      <w:r>
        <w:rPr>
          <w:rFonts w:cs="Arial"/>
          <w:sz w:val="26"/>
          <w:szCs w:val="26"/>
        </w:rPr>
        <w:t xml:space="preserve"> [...]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 xml:space="preserve">§ 2º </w:t>
      </w:r>
      <w:r>
        <w:rPr>
          <w:rFonts w:cs="Arial"/>
          <w:sz w:val="26"/>
          <w:szCs w:val="26"/>
        </w:rPr>
        <w:t>A partir do ano letivo de 2025, os alunos com deficiência e/ou Transtorno do Espectro Autista (TEA) matriculados nos cursos de Creche, Pré-Escola e/ou Atividade Complementar, devidamente comprovados por laudo médico com CID, deverão ser acompanhados por PAEI (Profissional de Apoio Escolar Inclusivo) contratados e custeados pela Entidade Subvencionada.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 xml:space="preserve">Art. 5º </w:t>
      </w:r>
      <w:r>
        <w:rPr>
          <w:rFonts w:cs="Arial"/>
          <w:sz w:val="26"/>
          <w:szCs w:val="26"/>
        </w:rPr>
        <w:t>Fica acrescido § 3º a Cláusula Segunda do Anexo I, da Lei nº 3.315, de 08 de dezembro de 2016, com a seguinte redação:</w:t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SEGUNDA:</w:t>
      </w:r>
      <w:r>
        <w:rPr>
          <w:rFonts w:cs="Arial"/>
          <w:b/>
          <w:bCs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[…]</w:t>
      </w:r>
    </w:p>
    <w:p>
      <w:pPr>
        <w:pStyle w:val="Normal"/>
        <w:bidi w:val="0"/>
        <w:ind w:left="0" w:right="0" w:firstLine="311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 xml:space="preserve">§ 3º </w:t>
      </w:r>
      <w:r>
        <w:rPr>
          <w:rFonts w:cs="Arial"/>
          <w:sz w:val="26"/>
          <w:szCs w:val="26"/>
        </w:rPr>
        <w:t>As Entidades Subvencionadas deverão comprovar mensalmente, até o dia 20 (vinte) de cada mês, o número de alunos acompanhados por PAEIs (Profissional de Apoio Escolar Inclusivo), encaminhando a Secretaria Municipal de Educação relatório acompanhado de cópias dos laudos médicos apresentados para à finalidade do § 2º desta cláusula.”</w:t>
      </w:r>
    </w:p>
    <w:p>
      <w:pPr>
        <w:pStyle w:val="Normal"/>
        <w:bidi w:val="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bookmarkStart w:id="1" w:name="_Hlk181873530"/>
      <w:bookmarkEnd w:id="1"/>
      <w:r>
        <w:rPr>
          <w:rFonts w:cs="Arial"/>
          <w:b/>
          <w:bCs/>
          <w:sz w:val="26"/>
          <w:szCs w:val="26"/>
        </w:rPr>
        <w:t>Art. 6º</w:t>
      </w:r>
      <w:r>
        <w:rPr>
          <w:rFonts w:cs="Arial"/>
          <w:sz w:val="26"/>
          <w:szCs w:val="26"/>
        </w:rPr>
        <w:t xml:space="preserve"> A Cláusula Terceira, do Anexo I, da Lei nº 3.315, de 08 de dezembro de 2016, passa a vigorar com a seguinte redação:</w:t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TERCEIRA</w:t>
      </w:r>
      <w:r>
        <w:rPr>
          <w:rFonts w:cs="Arial"/>
          <w:sz w:val="26"/>
          <w:szCs w:val="26"/>
          <w:u w:val="single"/>
        </w:rPr>
        <w:t>:</w:t>
      </w:r>
      <w:r>
        <w:rPr>
          <w:rFonts w:cs="Arial"/>
          <w:sz w:val="26"/>
          <w:szCs w:val="26"/>
        </w:rPr>
        <w:t xml:space="preserve"> Pela prestação de serviço objeto deste Termo de Fomento, o Município repassará a Entidade os valores bases mensais a seguir discriminados, perfazendo o valor total de R$ XXXX.XX (Por Extenso), que será pago em parcelas mensais de acordo com o cronograma de desembolso.</w:t>
      </w:r>
    </w:p>
    <w:p>
      <w:pPr>
        <w:pStyle w:val="Normal"/>
        <w:bidi w:val="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tbl>
      <w:tblPr>
        <w:tblW w:w="8625" w:type="dxa"/>
        <w:jc w:val="left"/>
        <w:tblInd w:w="212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</w:tblPr>
      <w:tblGrid>
        <w:gridCol w:w="2445"/>
        <w:gridCol w:w="2265"/>
        <w:gridCol w:w="1635"/>
        <w:gridCol w:w="2280"/>
      </w:tblGrid>
      <w:tr>
        <w:trPr/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MODALIDADE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PERÍODO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VALORES PER CAPITA (EM REAIS)</w:t>
            </w:r>
          </w:p>
        </w:tc>
      </w:tr>
      <w:tr>
        <w:trPr/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CRECHE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PRÉ-ESCOLA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BERÇÁRIO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R$ 912,74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MATERNAL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R$ 758,30</w:t>
            </w:r>
          </w:p>
        </w:tc>
      </w:tr>
      <w:tr>
        <w:trPr>
          <w:trHeight w:val="400" w:hRule="atLeast"/>
        </w:trPr>
        <w:tc>
          <w:tcPr>
            <w:tcW w:w="24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JARDIM/PRÉ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INTEGRAL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R$ 618,19</w:t>
            </w:r>
          </w:p>
        </w:tc>
      </w:tr>
      <w:tr>
        <w:trPr>
          <w:trHeight w:val="649" w:hRule="atLeast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ATIVIDADE COMPLEMENTAR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EDUCAÇÃO INFANTIL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PARCIAL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R$ 237,73</w:t>
            </w:r>
          </w:p>
        </w:tc>
      </w:tr>
      <w:tr>
        <w:trPr/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ATIVIDADE COMPLEMENTAR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ENSINO FUNDAMENTAL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PARCIAL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R$ 322,26</w:t>
            </w:r>
          </w:p>
        </w:tc>
      </w:tr>
    </w:tbl>
    <w:p>
      <w:pPr>
        <w:pStyle w:val="Normal"/>
        <w:widowControl w:val="false"/>
        <w:bidi w:val="0"/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”</w:t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7º</w:t>
      </w:r>
      <w:r>
        <w:rPr>
          <w:rFonts w:cs="Arial"/>
          <w:sz w:val="26"/>
          <w:szCs w:val="26"/>
        </w:rPr>
        <w:t xml:space="preserve"> A Cláusula Sétima, do Anexo I, da Lei nº 3.315, de 08 de dezembro de 2016, passa a vigorar com a seguinte redação:</w:t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SÉTIMA</w:t>
      </w:r>
      <w:r>
        <w:rPr>
          <w:rFonts w:cs="Arial"/>
          <w:sz w:val="26"/>
          <w:szCs w:val="26"/>
          <w:u w:val="single"/>
        </w:rPr>
        <w:t>:</w:t>
      </w:r>
      <w:r>
        <w:rPr>
          <w:rFonts w:cs="Arial"/>
          <w:sz w:val="26"/>
          <w:szCs w:val="26"/>
        </w:rPr>
        <w:t xml:space="preserve"> A carga horária de atendimento, devera obedecer aos seguintes critérios:</w:t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I</w:t>
      </w:r>
      <w:r>
        <w:rPr>
          <w:rFonts w:cs="Arial"/>
          <w:sz w:val="26"/>
          <w:szCs w:val="26"/>
        </w:rPr>
        <w:t xml:space="preserve"> – atendimento em período integral na modalidade creche e atendimento em período integral na modalidade pré-escola: carga horaria diária mínima de 08 (oito) horas, de segunda a sexta, incluindo café da manhã, almoço e lanche da tarde;</w:t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II</w:t>
      </w:r>
      <w:r>
        <w:rPr>
          <w:rFonts w:cs="Arial"/>
          <w:sz w:val="26"/>
          <w:szCs w:val="26"/>
        </w:rPr>
        <w:t xml:space="preserve"> – atendimento em período parcial, na modalidade Atividade Complementar: carga horária diária mínima de 04 (quatro) horas de segunda a sexta, incluindo café da manhã ou lanche da tarde.”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8º</w:t>
      </w:r>
      <w:r>
        <w:rPr>
          <w:rFonts w:cs="Arial"/>
          <w:sz w:val="26"/>
          <w:szCs w:val="26"/>
        </w:rPr>
        <w:t xml:space="preserve"> O inciso II da Cláusula Décima do Anexo I, da Lei nº 3.315, de 08 de dezembro de 2016, passa a vigorar com a seguinte redação:</w:t>
      </w:r>
    </w:p>
    <w:p>
      <w:pPr>
        <w:pStyle w:val="Normal"/>
        <w:bidi w:val="0"/>
        <w:jc w:val="both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DÉCIMA</w:t>
      </w:r>
      <w:r>
        <w:rPr>
          <w:rFonts w:cs="Arial"/>
          <w:sz w:val="26"/>
          <w:szCs w:val="26"/>
          <w:u w:val="single"/>
        </w:rPr>
        <w:t>:</w:t>
      </w:r>
      <w:r>
        <w:rPr>
          <w:rFonts w:cs="Arial"/>
          <w:sz w:val="26"/>
          <w:szCs w:val="26"/>
        </w:rPr>
        <w:t xml:space="preserve"> A Entidade compromete-se a: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[...]</w:t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II</w:t>
      </w:r>
      <w:r>
        <w:rPr>
          <w:rFonts w:cs="Arial"/>
          <w:sz w:val="26"/>
          <w:szCs w:val="26"/>
        </w:rPr>
        <w:t xml:space="preserve"> – quando se tratar da modalidade Atividade Complementar, o Plano de Trabalho deverá estar articulado com o Currículo Santista;”</w:t>
      </w:r>
    </w:p>
    <w:p>
      <w:pPr>
        <w:pStyle w:val="Normal"/>
        <w:bidi w:val="0"/>
        <w:jc w:val="both"/>
        <w:rPr>
          <w:rFonts w:cs="Calibri"/>
          <w:color w:val="000000"/>
          <w:sz w:val="26"/>
          <w:szCs w:val="26"/>
          <w:shd w:fill="FFFFFF" w:val="clear"/>
        </w:rPr>
      </w:pPr>
      <w:r>
        <w:rPr>
          <w:rFonts w:cs="Calibri"/>
          <w:color w:val="000000"/>
          <w:sz w:val="26"/>
          <w:szCs w:val="26"/>
          <w:shd w:fill="FFFFFF" w:val="clear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9º</w:t>
      </w:r>
      <w:r>
        <w:rPr>
          <w:rFonts w:cs="Arial"/>
          <w:sz w:val="26"/>
          <w:szCs w:val="26"/>
        </w:rPr>
        <w:t xml:space="preserve"> O inciso XIX da Cláusula Décima do Anexo I, da Lei nº 3.315, de 08 de dezembro de 2016, passa a vigorar com a seguinte redação: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sz w:val="26"/>
          <w:szCs w:val="26"/>
        </w:rPr>
        <w:t>“</w:t>
      </w:r>
      <w:r>
        <w:rPr>
          <w:rFonts w:cs="Arial"/>
          <w:b/>
          <w:bCs/>
          <w:sz w:val="26"/>
          <w:szCs w:val="26"/>
          <w:u w:val="single"/>
        </w:rPr>
        <w:t>CLÁUSULA DÉCIMA</w:t>
      </w:r>
      <w:r>
        <w:rPr>
          <w:rFonts w:cs="Arial"/>
          <w:sz w:val="26"/>
          <w:szCs w:val="26"/>
          <w:u w:val="single"/>
        </w:rPr>
        <w:t>:</w:t>
      </w:r>
      <w:r>
        <w:rPr>
          <w:rFonts w:cs="Arial"/>
          <w:sz w:val="26"/>
          <w:szCs w:val="26"/>
        </w:rPr>
        <w:t xml:space="preserve"> [...]</w:t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XIX</w:t>
      </w:r>
      <w:r>
        <w:rPr>
          <w:rFonts w:cs="Arial"/>
          <w:sz w:val="26"/>
          <w:szCs w:val="26"/>
        </w:rPr>
        <w:t xml:space="preserve"> – garantir atendimento ao público, de segunda a sexta feira nos meses de janeiro a dezembro, acompanhando o Calendário escolar da Secretaria Municipal de Educação.”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>
          <w:rFonts w:cs="Arial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10.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color w:val="000000"/>
          <w:sz w:val="26"/>
          <w:szCs w:val="26"/>
          <w:shd w:fill="FFFFFF" w:val="clear"/>
        </w:rPr>
        <w:t>Fica acrescido ao Anexo II da Lei nº 3.315, de 08 de dezembro de 2016, na relação de profissionais referente à creche, pré-escola e/ou atividade complementar – Ensino Fundamental, o profissional de apoio escolar inclusivo.</w:t>
      </w:r>
    </w:p>
    <w:p>
      <w:pPr>
        <w:pStyle w:val="Normal"/>
        <w:bidi w:val="0"/>
        <w:ind w:left="0" w:right="0" w:firstLine="311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bidi w:val="0"/>
        <w:ind w:left="0" w:right="0" w:firstLine="3118"/>
        <w:jc w:val="both"/>
        <w:rPr/>
      </w:pPr>
      <w:r>
        <w:rPr>
          <w:rFonts w:cs="Arial"/>
          <w:b/>
          <w:bCs/>
          <w:sz w:val="26"/>
          <w:szCs w:val="26"/>
        </w:rPr>
        <w:t>Art. 11.</w:t>
      </w:r>
      <w:r>
        <w:rPr>
          <w:rFonts w:cs="Arial"/>
          <w:sz w:val="26"/>
          <w:szCs w:val="26"/>
        </w:rPr>
        <w:t xml:space="preserve"> Esta lei entra em vigor na data da publicação, revogadas as disposições em contrário. </w:t>
      </w:r>
    </w:p>
    <w:p>
      <w:pPr>
        <w:pStyle w:val="Normal"/>
        <w:tabs>
          <w:tab w:val="clear" w:pos="709"/>
          <w:tab w:val="left" w:pos="1771" w:leader="none"/>
          <w:tab w:val="left" w:pos="2977" w:leader="none"/>
          <w:tab w:val="left" w:pos="3119" w:leader="none"/>
          <w:tab w:val="left" w:pos="3827" w:leader="none"/>
          <w:tab w:val="left" w:pos="6520" w:leader="none"/>
        </w:tabs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bidi w:val="0"/>
        <w:ind w:left="0" w:right="0" w:firstLine="3118"/>
        <w:jc w:val="both"/>
        <w:rPr>
          <w:rFonts w:eastAsia="Lucida Sans Unicode"/>
          <w:kern w:val="2"/>
          <w:sz w:val="26"/>
          <w:szCs w:val="26"/>
          <w:lang w:bidi="en-US"/>
        </w:rPr>
      </w:pPr>
      <w:bookmarkStart w:id="2" w:name="_Hlk181873530"/>
      <w:bookmarkEnd w:id="0"/>
      <w:bookmarkEnd w:id="2"/>
      <w:r>
        <w:rPr>
          <w:rFonts w:eastAsia="Lucida Sans Unicode"/>
          <w:kern w:val="2"/>
          <w:sz w:val="26"/>
          <w:szCs w:val="26"/>
          <w:lang w:bidi="en-US"/>
        </w:rPr>
        <w:t>Registre-se e publique-se.</w:t>
      </w:r>
    </w:p>
    <w:p>
      <w:pPr>
        <w:pStyle w:val="Normal"/>
        <w:widowControl w:val="false"/>
        <w:bidi w:val="0"/>
        <w:ind w:left="0" w:right="0" w:firstLine="3118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  <w:t>Palácio “José Bonifácio”, em 26 de novembro de 2024.</w:t>
      </w:r>
    </w:p>
    <w:p>
      <w:pPr>
        <w:pStyle w:val="Normal"/>
        <w:widowControl w:val="false"/>
        <w:bidi w:val="0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ind w:left="0" w:right="0" w:firstLine="3119"/>
        <w:jc w:val="center"/>
        <w:rPr>
          <w:rFonts w:eastAsia="Lucida Sans Unicode"/>
          <w:b/>
          <w:b/>
          <w:bCs/>
          <w:kern w:val="2"/>
          <w:sz w:val="26"/>
          <w:szCs w:val="26"/>
          <w:lang w:bidi="en-US"/>
        </w:rPr>
      </w:pPr>
      <w:r>
        <w:rPr>
          <w:rFonts w:eastAsia="Lucida Sans Unicode"/>
          <w:b/>
          <w:bCs/>
          <w:kern w:val="2"/>
          <w:sz w:val="26"/>
          <w:szCs w:val="26"/>
          <w:lang w:bidi="en-US"/>
        </w:rPr>
        <w:t>ROGÉRIO SANTOS</w:t>
      </w:r>
    </w:p>
    <w:p>
      <w:pPr>
        <w:pStyle w:val="Normal"/>
        <w:widowControl w:val="false"/>
        <w:bidi w:val="0"/>
        <w:ind w:left="0" w:right="0" w:firstLine="3119"/>
        <w:jc w:val="center"/>
        <w:rPr>
          <w:rFonts w:eastAsia="Lucida Sans Unicode"/>
          <w:i/>
          <w:i/>
          <w:iCs/>
          <w:kern w:val="2"/>
          <w:sz w:val="26"/>
          <w:szCs w:val="26"/>
          <w:lang w:bidi="en-US"/>
        </w:rPr>
      </w:pPr>
      <w:r>
        <w:rPr>
          <w:rFonts w:eastAsia="Lucida Sans Unicode"/>
          <w:i/>
          <w:iCs/>
          <w:kern w:val="2"/>
          <w:sz w:val="26"/>
          <w:szCs w:val="26"/>
          <w:lang w:bidi="en-US"/>
        </w:rPr>
        <w:t>Prefeito Municipal</w:t>
      </w:r>
    </w:p>
    <w:p>
      <w:pPr>
        <w:pStyle w:val="Normal"/>
        <w:widowControl w:val="false"/>
        <w:bidi w:val="0"/>
        <w:ind w:left="0" w:right="0" w:firstLine="3119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</w:r>
    </w:p>
    <w:p>
      <w:pPr>
        <w:pStyle w:val="Normal"/>
        <w:widowControl w:val="false"/>
        <w:bidi w:val="0"/>
        <w:ind w:left="0" w:right="0" w:firstLine="3119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  <w:t xml:space="preserve">Registrada no livro competente. </w:t>
      </w:r>
    </w:p>
    <w:p>
      <w:pPr>
        <w:pStyle w:val="Normal"/>
        <w:widowControl w:val="false"/>
        <w:bidi w:val="0"/>
        <w:ind w:left="0" w:right="0" w:firstLine="3119"/>
        <w:jc w:val="both"/>
        <w:rPr>
          <w:rFonts w:eastAsia="Lucida Sans Unicode"/>
          <w:kern w:val="2"/>
          <w:sz w:val="26"/>
          <w:szCs w:val="26"/>
          <w:lang w:bidi="en-US"/>
        </w:rPr>
      </w:pPr>
      <w:r>
        <w:rPr>
          <w:rFonts w:eastAsia="Lucida Sans Unicode"/>
          <w:kern w:val="2"/>
          <w:sz w:val="26"/>
          <w:szCs w:val="26"/>
          <w:lang w:bidi="en-US"/>
        </w:rPr>
        <w:t>Departamento de Registro de Atos Oficiais do Gabinete do Prefeito Municipal, em 26 de novembro de 2024.</w:t>
      </w:r>
    </w:p>
    <w:p>
      <w:pPr>
        <w:pStyle w:val="Normal"/>
        <w:widowControl w:val="false"/>
        <w:bidi w:val="0"/>
        <w:ind w:left="0" w:right="0" w:firstLine="311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bidi w:val="0"/>
        <w:ind w:left="0" w:right="0" w:firstLine="311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bidi w:val="0"/>
        <w:ind w:left="0" w:right="0" w:firstLine="3119"/>
        <w:jc w:val="center"/>
        <w:rPr>
          <w:rFonts w:eastAsia="Lucida Sans Unicode"/>
          <w:b/>
          <w:b/>
          <w:bCs/>
          <w:kern w:val="2"/>
          <w:sz w:val="26"/>
          <w:szCs w:val="26"/>
          <w:lang w:bidi="en-US"/>
        </w:rPr>
      </w:pPr>
      <w:r>
        <w:rPr>
          <w:rFonts w:eastAsia="Lucida Sans Unicode"/>
          <w:b/>
          <w:bCs/>
          <w:kern w:val="2"/>
          <w:sz w:val="26"/>
          <w:szCs w:val="26"/>
          <w:lang w:bidi="en-US"/>
        </w:rPr>
        <w:t>NATÁLIA LUCENA DOS SANTOS</w:t>
      </w:r>
    </w:p>
    <w:p>
      <w:pPr>
        <w:pStyle w:val="Normal"/>
        <w:widowControl w:val="false"/>
        <w:bidi w:val="0"/>
        <w:ind w:left="0" w:right="0" w:firstLine="3119"/>
        <w:jc w:val="center"/>
        <w:rPr>
          <w:rFonts w:eastAsia="Lucida Sans Unicode"/>
          <w:i/>
          <w:i/>
          <w:iCs/>
          <w:kern w:val="2"/>
          <w:sz w:val="26"/>
          <w:szCs w:val="26"/>
          <w:lang w:bidi="en-US"/>
        </w:rPr>
      </w:pPr>
      <w:r>
        <w:rPr>
          <w:rFonts w:eastAsia="Lucida Sans Unicode"/>
          <w:i/>
          <w:iCs/>
          <w:kern w:val="2"/>
          <w:sz w:val="26"/>
          <w:szCs w:val="26"/>
          <w:lang w:bidi="en-US"/>
        </w:rPr>
        <w:t>Diretora do Departamento</w:t>
      </w:r>
    </w:p>
    <w:sectPr>
      <w:headerReference w:type="default" r:id="rId2"/>
      <w:footerReference w:type="default" r:id="rId3"/>
      <w:type w:val="nextPage"/>
      <w:pgSz w:w="11906" w:h="16838"/>
      <w:pgMar w:left="1984" w:right="1134" w:gutter="0" w:header="1134" w:top="2962" w:footer="1134" w:bottom="196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ind w:left="0" w:right="-152" w:hanging="0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Rodap"/>
      <w:bidi w:val="0"/>
      <w:ind w:left="0" w:right="-152" w:hanging="0"/>
      <w:jc w:val="left"/>
      <w:rPr>
        <w:sz w:val="16"/>
        <w:szCs w:val="16"/>
      </w:rPr>
    </w:pPr>
    <w:r>
      <w:rPr>
        <w:sz w:val="16"/>
        <w:szCs w:val="16"/>
      </w:rPr>
      <w:t>PA 61396/2024-94</w:t>
    </w:r>
  </w:p>
  <w:p>
    <w:pPr>
      <w:pStyle w:val="Rodap"/>
      <w:bidi w:val="0"/>
      <w:ind w:left="0" w:right="-152" w:hanging="0"/>
      <w:jc w:val="left"/>
      <w:rPr/>
    </w:pPr>
    <w:r>
      <w:rPr>
        <w:sz w:val="16"/>
        <w:szCs w:val="16"/>
      </w:rPr>
      <w:t xml:space="preserve">Formalizado por IAM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  <w:drawing>
        <wp:inline distT="0" distB="0" distL="0" distR="0">
          <wp:extent cx="5568950" cy="981075"/>
          <wp:effectExtent l="0" t="0" r="0" b="0"/>
          <wp:docPr id="1" name="Imagem 2812150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121503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7" t="-601" r="-107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394" w:leader="none"/>
        <w:tab w:val="right" w:pos="878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LibreOffice/7.2.6.2$Windows_x86 LibreOffice_project/b0ec3a565991f7569a5a7f5d24fed7f52653d754</Application>
  <AppVersion>15.0000</AppVersion>
  <Pages>5</Pages>
  <Words>928</Words>
  <Characters>4820</Characters>
  <CharactersWithSpaces>6105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2025-01-09T13:43:55Z</dcterms:created>
  <dc:creator/>
  <dc:description/>
  <dc:language>pt-BR</dc:language>
  <cp:lastModifiedBy/>
  <dcterms:modified xsi:type="dcterms:W3CDTF">2025-01-09T13:52:43Z</dcterms:modified>
  <cp:revision>1</cp:revision>
  <dc:subject/>
  <dc:title/>
</cp:coreProperties>
</file>